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rPr>
        <w:t>英吉沙县扶贫项目</w:t>
      </w:r>
      <w:r>
        <w:rPr>
          <w:rFonts w:ascii="华文中宋" w:hAnsi="华文中宋" w:eastAsia="华文中宋" w:cs="华文中宋"/>
          <w:b/>
          <w:bCs/>
          <w:kern w:val="0"/>
          <w:sz w:val="52"/>
          <w:szCs w:val="52"/>
          <w:lang w:val="zh-TW" w:eastAsia="zh-TW"/>
        </w:rPr>
        <w:t>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left="2518" w:leftChars="342" w:hanging="1800" w:hangingChars="500"/>
        <w:jc w:val="left"/>
        <w:rPr>
          <w:rFonts w:ascii="仿宋_GB2312" w:hAnsi="仿宋_GB2312" w:eastAsia="仿宋_GB2312" w:cs="仿宋_GB2312"/>
          <w:kern w:val="0"/>
          <w:sz w:val="36"/>
          <w:szCs w:val="3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rPr>
        <w:t>英吉沙县艾古斯乡易地扶贫搬迁设施配套建设项目</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英吉沙县水利局</w:t>
      </w:r>
    </w:p>
    <w:p>
      <w:pPr>
        <w:pStyle w:val="48"/>
        <w:spacing w:line="700" w:lineRule="exact"/>
        <w:ind w:left="718" w:leftChars="342"/>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英吉沙县发展和改革委员会</w:t>
      </w: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喀米力.库尔班</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9</w:t>
      </w:r>
      <w:r>
        <w:rPr>
          <w:rFonts w:ascii="仿宋_GB2312" w:hAnsi="仿宋_GB2312" w:eastAsia="仿宋_GB2312" w:cs="仿宋_GB2312"/>
          <w:kern w:val="0"/>
          <w:sz w:val="36"/>
          <w:szCs w:val="36"/>
          <w:lang w:val="zh-TW" w:eastAsia="zh-TW"/>
        </w:rPr>
        <w:t>年1月</w:t>
      </w:r>
      <w:r>
        <w:rPr>
          <w:rFonts w:hint="eastAsia" w:ascii="仿宋_GB2312" w:hAnsi="仿宋_GB2312" w:eastAsia="仿宋_GB2312" w:cs="仿宋_GB2312"/>
          <w:kern w:val="0"/>
          <w:sz w:val="36"/>
          <w:szCs w:val="36"/>
        </w:rPr>
        <w:t>29</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936" w:firstLineChars="300"/>
        <w:rPr>
          <w:rStyle w:val="18"/>
          <w:rFonts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建设单位：英吉沙县水利局</w:t>
      </w:r>
    </w:p>
    <w:p>
      <w:pPr>
        <w:ind w:left="958" w:leftChars="456" w:firstLine="0" w:firstLineChars="0"/>
      </w:pPr>
      <w:r>
        <w:rPr>
          <w:rStyle w:val="18"/>
          <w:rFonts w:hint="eastAsia" w:ascii="楷体" w:hAnsi="楷体" w:eastAsia="楷体"/>
          <w:b w:val="0"/>
          <w:bCs w:val="0"/>
          <w:spacing w:val="-4"/>
          <w:sz w:val="32"/>
          <w:szCs w:val="32"/>
        </w:rPr>
        <w:t>监理单位：新疆泽信工程管理有限公司（艾古斯乡项目）</w:t>
      </w:r>
      <w:r>
        <w:rPr>
          <w:rStyle w:val="18"/>
          <w:rFonts w:hint="eastAsia" w:ascii="楷体" w:hAnsi="楷体" w:eastAsia="楷体"/>
          <w:b w:val="0"/>
          <w:bCs w:val="0"/>
          <w:i w:val="0"/>
          <w:iCs w:val="0"/>
          <w:spacing w:val="-4"/>
          <w:sz w:val="32"/>
          <w:szCs w:val="32"/>
        </w:rPr>
        <w:t xml:space="preserve">   施工单位：新疆启程建筑有限公司 （艾古斯乡项目）</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防渗改建或新建渠道长度1.952公里，设计流量0.15m³/s-0.3m³/s。截至目前，新建内容已全部完成，其他目标达到既定要求。</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本项目性质为新增项目。</w:t>
      </w:r>
    </w:p>
    <w:p>
      <w:pPr>
        <w:numPr>
          <w:ilvl w:val="0"/>
          <w:numId w:val="1"/>
        </w:num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项目用途及范围</w:t>
      </w:r>
    </w:p>
    <w:p>
      <w:pPr>
        <w:adjustRightInd w:val="0"/>
        <w:snapToGrid w:val="0"/>
        <w:spacing w:line="560" w:lineRule="exact"/>
        <w:ind w:firstLine="936" w:firstLineChars="3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大力提高了灌溉水利用效率，节约了劳动力，节约了水资源，为农村田间灌溉提供了便利的水源保证。解决农村贫困户用水问题。</w:t>
      </w:r>
    </w:p>
    <w:p>
      <w:pPr>
        <w:spacing w:line="570" w:lineRule="exact"/>
        <w:ind w:firstLine="640"/>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（一）项目资金情况分析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1、项目资金到位情况分析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中央资金</w:t>
      </w:r>
      <w:r>
        <w:rPr>
          <w:rStyle w:val="18"/>
          <w:rFonts w:hint="eastAsia" w:ascii="楷体" w:hAnsi="楷体" w:eastAsia="楷体"/>
          <w:b w:val="0"/>
          <w:bCs w:val="0"/>
          <w:i w:val="0"/>
          <w:iCs w:val="0"/>
          <w:spacing w:val="-4"/>
          <w:sz w:val="32"/>
          <w:szCs w:val="32"/>
          <w:lang w:val="en-US" w:eastAsia="zh-CN"/>
        </w:rPr>
        <w:t>157.87</w:t>
      </w:r>
      <w:r>
        <w:rPr>
          <w:rStyle w:val="18"/>
          <w:rFonts w:hint="eastAsia" w:ascii="楷体" w:hAnsi="楷体" w:eastAsia="楷体"/>
          <w:b w:val="0"/>
          <w:bCs w:val="0"/>
          <w:i w:val="0"/>
          <w:iCs w:val="0"/>
          <w:spacing w:val="-4"/>
          <w:sz w:val="32"/>
          <w:szCs w:val="32"/>
        </w:rPr>
        <w:t>万元已全部到位，到位率达100%。</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2、项目资金执行情况分析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bookmarkStart w:id="0" w:name="_GoBack"/>
      <w:bookmarkEnd w:id="0"/>
      <w:r>
        <w:rPr>
          <w:rStyle w:val="18"/>
          <w:rFonts w:hint="eastAsia" w:ascii="楷体" w:hAnsi="楷体" w:eastAsia="楷体"/>
          <w:b w:val="0"/>
          <w:bCs w:val="0"/>
          <w:i w:val="0"/>
          <w:iCs w:val="0"/>
          <w:spacing w:val="-4"/>
          <w:sz w:val="32"/>
          <w:szCs w:val="32"/>
        </w:rPr>
        <w:t>2018年防渗渠建设项目投资</w:t>
      </w:r>
      <w:r>
        <w:rPr>
          <w:rStyle w:val="18"/>
          <w:rFonts w:hint="eastAsia" w:ascii="楷体" w:hAnsi="楷体" w:eastAsia="楷体"/>
          <w:b w:val="0"/>
          <w:bCs w:val="0"/>
          <w:i w:val="0"/>
          <w:iCs w:val="0"/>
          <w:spacing w:val="-4"/>
          <w:sz w:val="32"/>
          <w:szCs w:val="32"/>
          <w:lang w:val="en-US" w:eastAsia="zh-CN"/>
        </w:rPr>
        <w:t>157.87</w:t>
      </w:r>
      <w:r>
        <w:rPr>
          <w:rStyle w:val="18"/>
          <w:rFonts w:hint="eastAsia" w:ascii="楷体" w:hAnsi="楷体" w:eastAsia="楷体"/>
          <w:b w:val="0"/>
          <w:bCs w:val="0"/>
          <w:i w:val="0"/>
          <w:iCs w:val="0"/>
          <w:spacing w:val="-4"/>
          <w:sz w:val="32"/>
          <w:szCs w:val="32"/>
        </w:rPr>
        <w:t>万元，2018年项目执行</w:t>
      </w:r>
      <w:r>
        <w:rPr>
          <w:rStyle w:val="18"/>
          <w:rFonts w:hint="eastAsia" w:ascii="楷体" w:hAnsi="楷体" w:eastAsia="楷体"/>
          <w:b w:val="0"/>
          <w:bCs w:val="0"/>
          <w:i w:val="0"/>
          <w:iCs w:val="0"/>
          <w:spacing w:val="-4"/>
          <w:sz w:val="32"/>
          <w:szCs w:val="32"/>
          <w:lang w:val="en-US" w:eastAsia="zh-CN"/>
        </w:rPr>
        <w:t>157.87</w:t>
      </w:r>
      <w:r>
        <w:rPr>
          <w:rStyle w:val="18"/>
          <w:rFonts w:hint="eastAsia" w:ascii="楷体" w:hAnsi="楷体" w:eastAsia="楷体"/>
          <w:b w:val="0"/>
          <w:bCs w:val="0"/>
          <w:i w:val="0"/>
          <w:iCs w:val="0"/>
          <w:spacing w:val="-4"/>
          <w:sz w:val="32"/>
          <w:szCs w:val="32"/>
        </w:rPr>
        <w:t>万元。</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3、项目资金管理情况分析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所有拔入到县水利局的专项资金均拔入到水利局在英吉沙县所设立的专户，实行专户专账管理。项目核算按照相应的规定进行核算，财务资料分项目保管。</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项目资金的支出符合喀什地区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该项目，由水利局建设实施，实行项目“五项制”。在实施工程中，严格按照批复的实施方案确定的建设内容和标准进行实施，对于跨村项目实行分段分村负责制，乡镇负责统筹衔接。施工过程中，明确专门技术人员进行跟踪指导，对项目进行质量、进度和资金控制。</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为确保项目的顺利实施，水利局加强了项目建设前、中、后的管理以及项目资金的监督管理。</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项目管理制度建设方面：建立健全了水利项目建设“四个一”制度，严格按照水利工程施工质量管理标准，加强现场监管，下派技术监督员到施工现场，监督检查施工质量，形成了分管领导分工负责、技术人员具体负责、施工监理齐抓共管的工程质量监督保障机制，同时加强进度控制，落实建设进度统计工作，实现上报统计水利投资执行情况与工程建设进度相一致，对影响水利建设项目的重点难点问题逐项研究，提出的目标任务、措施办法，帮助基层和建设单位及时解决问题，加快工程建设进度，确保按期完成建设任务。</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监督检查管理方面：建立严格的监督检查机制，强化追责问责，确保水利建设加快推进。采取检查、专项稽查、定期督导等方式，全面加强督导检查。</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项目建设资金管理方面：切实加强项目资金管理，设立财务专户，做到专款专用，保障资金安全。建立健全水利系统内部的约束机制和会计核算监督体系，切实强化国有资产监督，促进党风廉政建设。杜绝吃、拿、卡、要现象的发生，保障了水利事业的健康发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4" w:firstLineChars="200"/>
        <w:outlineLvl w:val="0"/>
        <w:rPr>
          <w:rFonts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本项目共设置一级指标3个，二级指标9个，三级指标22个，其中已完成三级指标22个，指标完成率100%。</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1.效率性。</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（1）项目完成数量。</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按照法人的进度计划、工期计划和验收计划，</w:t>
      </w:r>
      <w:r>
        <w:rPr>
          <w:rStyle w:val="18"/>
          <w:rFonts w:hint="eastAsia" w:ascii="楷体" w:hAnsi="楷体" w:eastAsia="楷体"/>
          <w:b w:val="0"/>
          <w:bCs w:val="0"/>
          <w:i w:val="0"/>
          <w:iCs w:val="0"/>
          <w:spacing w:val="-4"/>
          <w:sz w:val="32"/>
          <w:szCs w:val="32"/>
          <w:lang w:val="zh-TW"/>
        </w:rPr>
        <w:t>该项目</w:t>
      </w:r>
      <w:r>
        <w:rPr>
          <w:rStyle w:val="18"/>
          <w:rFonts w:hint="eastAsia" w:ascii="楷体" w:hAnsi="楷体" w:eastAsia="楷体"/>
          <w:b w:val="0"/>
          <w:bCs w:val="0"/>
          <w:i w:val="0"/>
          <w:iCs w:val="0"/>
          <w:spacing w:val="-4"/>
          <w:sz w:val="32"/>
          <w:szCs w:val="32"/>
        </w:rPr>
        <w:t>现已全部建设完成，并已通过单位工程验收，单位工程验收等级合格。</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（2）项目完成质量。</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在项目工程质量方面，我单位严格按照相关规定，对质量进行严格管控，相关项目委托专业检测单位，质量能够达到要求。</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2、效益性。</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（1）项目实施的经济效益分析。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通过开展项目的建设实施，促进了当地劳动就业，扩大了农田灌溉面积，有效的节约了水资源浪费。</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项目实施的社会效益分析。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项目覆盖贫困村3个；项目覆盖乡个数3个；项目覆盖村个数4个；受益贫困户数729户；受益贫困人口3085人；</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（二）项目绩效目标未完成原因分析</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pStyle w:val="2"/>
        <w:ind w:firstLine="624" w:firstLineChars="200"/>
        <w:rPr>
          <w:b w:val="0"/>
          <w:bCs w:val="0"/>
          <w:i w:val="0"/>
          <w:iCs w:val="0"/>
        </w:rPr>
      </w:pPr>
      <w:r>
        <w:rPr>
          <w:rFonts w:hint="eastAsia" w:ascii="楷体" w:hAnsi="楷体" w:eastAsia="楷体"/>
          <w:b w:val="0"/>
          <w:bCs w:val="0"/>
          <w:i w:val="0"/>
          <w:iCs w:val="0"/>
          <w:spacing w:val="-4"/>
          <w:sz w:val="32"/>
          <w:szCs w:val="32"/>
        </w:rPr>
        <w:t>该项目将由英吉沙县水管总站负责运行管理。</w:t>
      </w:r>
    </w:p>
    <w:p>
      <w:pPr>
        <w:numPr>
          <w:ilvl w:val="0"/>
          <w:numId w:val="2"/>
        </w:num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b/>
          <w:bCs/>
          <w:spacing w:val="-4"/>
          <w:sz w:val="32"/>
          <w:szCs w:val="32"/>
        </w:rPr>
        <w:t>主要经验及做法、存在问题和建议</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主要经验及做法</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质量专人监管、进度专人负责、建设管理专人统筹协调，</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保质保量完成目标任务。</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存在的问题</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 xml:space="preserve">无 </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 xml:space="preserve">建议                                           </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 xml:space="preserve">  抓好运行管理工作，工程发挥应有效益。</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六、项目评价工作情况</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本次评价通过文件研读、实地调研、数据分析等方式，全面了解该项目资金的使用效率和效果，项目建设管理过程规范，完成了建设内容预期绩效目标。</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七、附表</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r>
        <w:rPr>
          <w:rStyle w:val="18"/>
          <w:rFonts w:hint="eastAsia" w:ascii="楷体" w:hAnsi="楷体" w:eastAsia="楷体"/>
          <w:b w:val="0"/>
          <w:bCs w:val="0"/>
          <w:i w:val="0"/>
          <w:iCs w:val="0"/>
          <w:spacing w:val="-4"/>
          <w:sz w:val="32"/>
          <w:szCs w:val="32"/>
        </w:rPr>
        <w:t>《项目支出绩效目标自评表》</w:t>
      </w:r>
    </w:p>
    <w:p>
      <w:pPr>
        <w:adjustRightInd w:val="0"/>
        <w:snapToGrid w:val="0"/>
        <w:spacing w:line="560" w:lineRule="exact"/>
        <w:ind w:firstLine="624" w:firstLineChars="200"/>
        <w:rPr>
          <w:rStyle w:val="18"/>
          <w:rFonts w:hint="eastAsia" w:ascii="楷体" w:hAnsi="楷体" w:eastAsia="楷体"/>
          <w:b w:val="0"/>
          <w:bCs w:val="0"/>
          <w:i w:val="0"/>
          <w:iCs w:val="0"/>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Arial">
    <w:panose1 w:val="020B0604020202020204"/>
    <w:charset w:val="00"/>
    <w:family w:val="roman"/>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CB157C"/>
    <w:multiLevelType w:val="singleLevel"/>
    <w:tmpl w:val="DCCB157C"/>
    <w:lvl w:ilvl="0" w:tentative="0">
      <w:start w:val="2"/>
      <w:numFmt w:val="chineseCounting"/>
      <w:suff w:val="nothing"/>
      <w:lvlText w:val="（%1）"/>
      <w:lvlJc w:val="left"/>
      <w:rPr>
        <w:rFonts w:hint="eastAsia"/>
      </w:rPr>
    </w:lvl>
  </w:abstractNum>
  <w:abstractNum w:abstractNumId="1">
    <w:nsid w:val="4D46709D"/>
    <w:multiLevelType w:val="singleLevel"/>
    <w:tmpl w:val="4D46709D"/>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199"/>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5A3B7E"/>
    <w:rsid w:val="00604550"/>
    <w:rsid w:val="00675D58"/>
    <w:rsid w:val="006F2E6D"/>
    <w:rsid w:val="007218B8"/>
    <w:rsid w:val="00755C6A"/>
    <w:rsid w:val="00785FDE"/>
    <w:rsid w:val="007A0351"/>
    <w:rsid w:val="007A14BC"/>
    <w:rsid w:val="007B288D"/>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72618"/>
    <w:rsid w:val="00B86E8C"/>
    <w:rsid w:val="00BE1A00"/>
    <w:rsid w:val="00C22CF0"/>
    <w:rsid w:val="00C56C72"/>
    <w:rsid w:val="00CA6457"/>
    <w:rsid w:val="00CC6E4D"/>
    <w:rsid w:val="00D17F2E"/>
    <w:rsid w:val="00D46194"/>
    <w:rsid w:val="00DF177C"/>
    <w:rsid w:val="00E01293"/>
    <w:rsid w:val="00E027D1"/>
    <w:rsid w:val="00E769FE"/>
    <w:rsid w:val="00EA2CBE"/>
    <w:rsid w:val="00F32FEE"/>
    <w:rsid w:val="00F53E69"/>
    <w:rsid w:val="01023DB6"/>
    <w:rsid w:val="06221AE0"/>
    <w:rsid w:val="0A716407"/>
    <w:rsid w:val="0C3B7F45"/>
    <w:rsid w:val="0DBD21E9"/>
    <w:rsid w:val="0E1955EA"/>
    <w:rsid w:val="0EE331B3"/>
    <w:rsid w:val="0FB52C06"/>
    <w:rsid w:val="11497FE1"/>
    <w:rsid w:val="13B663D8"/>
    <w:rsid w:val="18E8633D"/>
    <w:rsid w:val="19C362BB"/>
    <w:rsid w:val="1C4164E6"/>
    <w:rsid w:val="21234516"/>
    <w:rsid w:val="22131AAE"/>
    <w:rsid w:val="2443308D"/>
    <w:rsid w:val="28E40B19"/>
    <w:rsid w:val="297C0F61"/>
    <w:rsid w:val="2CCD340F"/>
    <w:rsid w:val="345558A3"/>
    <w:rsid w:val="361444DD"/>
    <w:rsid w:val="36FC5C3D"/>
    <w:rsid w:val="390B4713"/>
    <w:rsid w:val="3B232704"/>
    <w:rsid w:val="3D280C71"/>
    <w:rsid w:val="41E61316"/>
    <w:rsid w:val="44A0708E"/>
    <w:rsid w:val="49045234"/>
    <w:rsid w:val="4993418A"/>
    <w:rsid w:val="4B372FFB"/>
    <w:rsid w:val="4D4B366D"/>
    <w:rsid w:val="4F463E97"/>
    <w:rsid w:val="4F4F420F"/>
    <w:rsid w:val="50E94341"/>
    <w:rsid w:val="521C5354"/>
    <w:rsid w:val="527A7484"/>
    <w:rsid w:val="52E14FFB"/>
    <w:rsid w:val="54EB3754"/>
    <w:rsid w:val="57052A22"/>
    <w:rsid w:val="5874023D"/>
    <w:rsid w:val="59DC1960"/>
    <w:rsid w:val="5CAA4EF0"/>
    <w:rsid w:val="5CFA211B"/>
    <w:rsid w:val="5E375A71"/>
    <w:rsid w:val="5FAD55DF"/>
    <w:rsid w:val="60BB0E9E"/>
    <w:rsid w:val="63C84E3B"/>
    <w:rsid w:val="643C7BB0"/>
    <w:rsid w:val="64C0405E"/>
    <w:rsid w:val="67CD7F9F"/>
    <w:rsid w:val="69C357A6"/>
    <w:rsid w:val="6A582740"/>
    <w:rsid w:val="6E0C70FC"/>
    <w:rsid w:val="6FAC03D2"/>
    <w:rsid w:val="71B45306"/>
    <w:rsid w:val="74291907"/>
    <w:rsid w:val="7859399C"/>
    <w:rsid w:val="79B771C1"/>
    <w:rsid w:val="79E23170"/>
    <w:rsid w:val="7AF621EE"/>
    <w:rsid w:val="7AF63E5B"/>
    <w:rsid w:val="7C5E4840"/>
    <w:rsid w:val="7F802243"/>
  </w:rsids>
  <m:mathPr>
    <m:mathFont m:val="Cambria Math"/>
    <m:brkBin m:val="before"/>
    <m:brkBinSub m:val="--"/>
    <m:smallFrac m:val="1"/>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305</Words>
  <Characters>1739</Characters>
  <Lines>14</Lines>
  <Paragraphs>4</Paragraphs>
  <TotalTime>25</TotalTime>
  <ScaleCrop>false</ScaleCrop>
  <LinksUpToDate>false</LinksUpToDate>
  <CharactersWithSpaces>2040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2019-01-31T04:28:16Z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